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37" w:rsidRDefault="00943837">
      <w:pPr>
        <w:rPr>
          <w:noProof/>
          <w:lang w:eastAsia="fr-FR"/>
        </w:rPr>
      </w:pPr>
    </w:p>
    <w:p w:rsidR="00272A2E" w:rsidRDefault="00272A2E">
      <w:pPr>
        <w:rPr>
          <w:noProof/>
          <w:lang w:eastAsia="fr-FR"/>
        </w:rPr>
      </w:pPr>
      <w:r>
        <w:rPr>
          <w:noProof/>
          <w:lang w:eastAsia="fr-FR"/>
        </w:rPr>
        <w:t>Ils</w:t>
      </w:r>
    </w:p>
    <w:p w:rsidR="00D84043" w:rsidRDefault="008567D0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DABC56F" wp14:editId="01C20347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559040" cy="10693400"/>
            <wp:effectExtent l="0" t="0" r="0" b="0"/>
            <wp:wrapNone/>
            <wp:docPr id="4" name="Image 4" descr=":TRAJECTOIRE_TDL_210x297_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TRAJECTOIRE_TDL_210x297_VERTICA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E42" w:rsidRDefault="00703E42">
      <w:pPr>
        <w:rPr>
          <w:noProof/>
          <w:lang w:eastAsia="fr-FR"/>
        </w:rPr>
      </w:pPr>
    </w:p>
    <w:p w:rsidR="00703E42" w:rsidRDefault="00703E42">
      <w:pPr>
        <w:rPr>
          <w:noProof/>
          <w:lang w:eastAsia="fr-FR"/>
        </w:rPr>
      </w:pPr>
    </w:p>
    <w:p w:rsidR="00703E42" w:rsidRDefault="00703E42">
      <w:pPr>
        <w:rPr>
          <w:noProof/>
          <w:lang w:eastAsia="fr-FR"/>
        </w:rPr>
      </w:pPr>
    </w:p>
    <w:p w:rsidR="00703E42" w:rsidRPr="00943837" w:rsidRDefault="00A9041B" w:rsidP="001C4B3B">
      <w:pPr>
        <w:jc w:val="center"/>
        <w:rPr>
          <w:b/>
          <w:color w:val="1F497D" w:themeColor="text2"/>
          <w:sz w:val="48"/>
          <w:szCs w:val="48"/>
          <w:u w:val="single"/>
        </w:rPr>
      </w:pPr>
      <w:r w:rsidRPr="00943837">
        <w:rPr>
          <w:b/>
          <w:color w:val="1F497D" w:themeColor="text2"/>
          <w:sz w:val="48"/>
          <w:szCs w:val="48"/>
          <w:u w:val="single"/>
        </w:rPr>
        <w:t>Foire Aux Questions</w:t>
      </w:r>
    </w:p>
    <w:p w:rsidR="00703E42" w:rsidRPr="001C4B3B" w:rsidRDefault="00703E42" w:rsidP="001C4B3B">
      <w:pPr>
        <w:jc w:val="center"/>
        <w:rPr>
          <w:sz w:val="32"/>
          <w:szCs w:val="32"/>
          <w:u w:val="single"/>
        </w:rPr>
      </w:pPr>
    </w:p>
    <w:p w:rsidR="00703E42" w:rsidRDefault="00C957F0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157480</wp:posOffset>
                </wp:positionV>
                <wp:extent cx="146050" cy="209550"/>
                <wp:effectExtent l="57150" t="19050" r="63500" b="95250"/>
                <wp:wrapNone/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0955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3BFC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-15.35pt;margin-top:12.4pt;width:11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" fillcolor="#c0504d [3205]" strokecolor="#4579b8 [3044]">
                <v:shadow on="t" color="black" opacity="22937f" origin=",.5" offset="0,.63889mm"/>
              </v:shape>
            </w:pict>
          </mc:Fallback>
        </mc:AlternateContent>
      </w:r>
    </w:p>
    <w:p w:rsidR="00703E42" w:rsidRPr="00943837" w:rsidRDefault="00943837">
      <w:pPr>
        <w:rPr>
          <w:noProof/>
          <w:sz w:val="28"/>
          <w:szCs w:val="28"/>
          <w:lang w:eastAsia="fr-FR"/>
        </w:rPr>
      </w:pPr>
      <w:r w:rsidRPr="00943837">
        <w:rPr>
          <w:noProof/>
          <w:sz w:val="28"/>
          <w:szCs w:val="28"/>
          <w:lang w:eastAsia="fr-FR"/>
        </w:rPr>
        <w:t>L’avis de marché comporte 107</w:t>
      </w:r>
      <w:r w:rsidR="00C957F0">
        <w:rPr>
          <w:noProof/>
          <w:sz w:val="28"/>
          <w:szCs w:val="28"/>
          <w:lang w:eastAsia="fr-FR"/>
        </w:rPr>
        <w:t xml:space="preserve"> lots</w:t>
      </w:r>
      <w:r w:rsidRPr="00943837">
        <w:rPr>
          <w:noProof/>
          <w:sz w:val="28"/>
          <w:szCs w:val="28"/>
          <w:lang w:eastAsia="fr-FR"/>
        </w:rPr>
        <w:t xml:space="preserve"> </w:t>
      </w:r>
      <w:r w:rsidR="00C957F0" w:rsidRPr="00943837">
        <w:rPr>
          <w:noProof/>
          <w:sz w:val="28"/>
          <w:szCs w:val="28"/>
          <w:lang w:eastAsia="fr-FR"/>
        </w:rPr>
        <w:t xml:space="preserve">répartis en 11 domaines de compétences </w:t>
      </w:r>
      <w:r w:rsidRPr="00943837">
        <w:rPr>
          <w:noProof/>
          <w:sz w:val="28"/>
          <w:szCs w:val="28"/>
          <w:lang w:eastAsia="fr-FR"/>
        </w:rPr>
        <w:t>(et non 108 comme mentionné dans l’avis de publication du Journal le Progrès en date du 12 septembre 201</w:t>
      </w:r>
      <w:r w:rsidR="00FD0E75">
        <w:rPr>
          <w:noProof/>
          <w:sz w:val="28"/>
          <w:szCs w:val="28"/>
          <w:lang w:eastAsia="fr-FR"/>
        </w:rPr>
        <w:t>8</w:t>
      </w:r>
      <w:r w:rsidRPr="00943837">
        <w:rPr>
          <w:noProof/>
          <w:sz w:val="28"/>
          <w:szCs w:val="28"/>
          <w:lang w:eastAsia="fr-FR"/>
        </w:rPr>
        <w:t>).</w:t>
      </w:r>
    </w:p>
    <w:p w:rsidR="00943837" w:rsidRDefault="00943837">
      <w:pPr>
        <w:rPr>
          <w:noProof/>
          <w:lang w:eastAsia="fr-FR"/>
        </w:rPr>
      </w:pPr>
    </w:p>
    <w:p w:rsidR="00943837" w:rsidRDefault="00943837">
      <w:pPr>
        <w:rPr>
          <w:noProof/>
          <w:lang w:eastAsia="fr-FR"/>
        </w:rPr>
      </w:pPr>
    </w:p>
    <w:p w:rsidR="00703E42" w:rsidRPr="00A402BD" w:rsidRDefault="00A9041B" w:rsidP="00A402BD">
      <w:pPr>
        <w:pStyle w:val="Paragraphedeliste"/>
        <w:numPr>
          <w:ilvl w:val="0"/>
          <w:numId w:val="4"/>
        </w:numPr>
        <w:jc w:val="both"/>
        <w:rPr>
          <w:b/>
          <w:noProof/>
          <w:sz w:val="28"/>
          <w:szCs w:val="28"/>
          <w:lang w:eastAsia="fr-FR"/>
        </w:rPr>
      </w:pPr>
      <w:r w:rsidRPr="00A402BD">
        <w:rPr>
          <w:b/>
          <w:noProof/>
          <w:sz w:val="28"/>
          <w:szCs w:val="28"/>
          <w:lang w:eastAsia="fr-FR"/>
        </w:rPr>
        <w:t xml:space="preserve">Est-il </w:t>
      </w:r>
      <w:r w:rsidR="006B6DA3">
        <w:rPr>
          <w:b/>
          <w:noProof/>
          <w:sz w:val="28"/>
          <w:szCs w:val="28"/>
          <w:lang w:eastAsia="fr-FR"/>
        </w:rPr>
        <w:t>obligatoire</w:t>
      </w:r>
      <w:r w:rsidRPr="00A402BD">
        <w:rPr>
          <w:b/>
          <w:noProof/>
          <w:sz w:val="28"/>
          <w:szCs w:val="28"/>
          <w:lang w:eastAsia="fr-FR"/>
        </w:rPr>
        <w:t xml:space="preserve"> d’apposer une signature électronique dans sa réponse ?</w:t>
      </w:r>
    </w:p>
    <w:p w:rsidR="00703E42" w:rsidRDefault="00A9041B">
      <w:pPr>
        <w:rPr>
          <w:noProof/>
          <w:sz w:val="28"/>
          <w:szCs w:val="28"/>
          <w:lang w:eastAsia="fr-FR"/>
        </w:rPr>
      </w:pPr>
      <w:r w:rsidRPr="00A9041B">
        <w:rPr>
          <w:noProof/>
          <w:sz w:val="28"/>
          <w:szCs w:val="28"/>
          <w:lang w:eastAsia="fr-FR"/>
        </w:rPr>
        <w:t>Non</w:t>
      </w:r>
      <w:r w:rsidR="00F2210D" w:rsidRPr="00F2210D">
        <w:rPr>
          <w:noProof/>
          <w:color w:val="FF0000"/>
          <w:sz w:val="28"/>
          <w:szCs w:val="28"/>
          <w:lang w:eastAsia="fr-FR"/>
        </w:rPr>
        <w:t>,</w:t>
      </w:r>
      <w:r w:rsidR="006B6DA3" w:rsidRPr="00F2210D">
        <w:rPr>
          <w:noProof/>
          <w:color w:val="FF0000"/>
          <w:sz w:val="28"/>
          <w:szCs w:val="28"/>
          <w:lang w:eastAsia="fr-FR"/>
        </w:rPr>
        <w:t xml:space="preserve"> </w:t>
      </w:r>
      <w:r w:rsidR="006B6DA3">
        <w:rPr>
          <w:noProof/>
          <w:sz w:val="28"/>
          <w:szCs w:val="28"/>
          <w:lang w:eastAsia="fr-FR"/>
        </w:rPr>
        <w:t>mais</w:t>
      </w:r>
      <w:r w:rsidRPr="00A9041B">
        <w:rPr>
          <w:noProof/>
          <w:sz w:val="28"/>
          <w:szCs w:val="28"/>
          <w:lang w:eastAsia="fr-FR"/>
        </w:rPr>
        <w:t xml:space="preserve"> les réponses doivent être obligatoirement envoyée</w:t>
      </w:r>
      <w:r w:rsidR="006B6DA3">
        <w:rPr>
          <w:noProof/>
          <w:sz w:val="28"/>
          <w:szCs w:val="28"/>
          <w:lang w:eastAsia="fr-FR"/>
        </w:rPr>
        <w:t>s</w:t>
      </w:r>
      <w:r w:rsidRPr="00A9041B">
        <w:rPr>
          <w:noProof/>
          <w:sz w:val="28"/>
          <w:szCs w:val="28"/>
          <w:lang w:eastAsia="fr-FR"/>
        </w:rPr>
        <w:t xml:space="preserve"> par mail à l’attention de Karel CHAUCHEPRAT à </w:t>
      </w:r>
      <w:hyperlink r:id="rId6" w:history="1">
        <w:r w:rsidRPr="00A9041B">
          <w:rPr>
            <w:rStyle w:val="Lienhypertexte"/>
            <w:noProof/>
            <w:sz w:val="28"/>
            <w:szCs w:val="28"/>
            <w:lang w:eastAsia="fr-FR"/>
          </w:rPr>
          <w:t>contact@trajectoires-tourisme.com</w:t>
        </w:r>
      </w:hyperlink>
      <w:r w:rsidRPr="00A9041B">
        <w:rPr>
          <w:noProof/>
          <w:sz w:val="28"/>
          <w:szCs w:val="28"/>
          <w:lang w:eastAsia="fr-FR"/>
        </w:rPr>
        <w:t xml:space="preserve"> avec les coordonnées précises de l</w:t>
      </w:r>
      <w:r w:rsidR="006B6DA3">
        <w:rPr>
          <w:noProof/>
          <w:sz w:val="28"/>
          <w:szCs w:val="28"/>
          <w:lang w:eastAsia="fr-FR"/>
        </w:rPr>
        <w:t xml:space="preserve">a structure/personne qui répond ainsi que le numéro et l’intitulé de chaque lot concerné.  </w:t>
      </w:r>
    </w:p>
    <w:p w:rsidR="005226DE" w:rsidRDefault="005226DE">
      <w:pPr>
        <w:rPr>
          <w:noProof/>
          <w:sz w:val="28"/>
          <w:szCs w:val="28"/>
          <w:lang w:eastAsia="fr-FR"/>
        </w:rPr>
      </w:pPr>
    </w:p>
    <w:p w:rsidR="002E76CA" w:rsidRDefault="002E76CA">
      <w:pPr>
        <w:rPr>
          <w:noProof/>
          <w:sz w:val="28"/>
          <w:szCs w:val="28"/>
          <w:lang w:eastAsia="fr-FR"/>
        </w:rPr>
      </w:pPr>
    </w:p>
    <w:p w:rsidR="00F2210D" w:rsidRPr="00F2210D" w:rsidRDefault="002E76CA" w:rsidP="0016463F">
      <w:pPr>
        <w:pStyle w:val="Paragraphedeliste"/>
        <w:numPr>
          <w:ilvl w:val="0"/>
          <w:numId w:val="4"/>
        </w:numPr>
        <w:rPr>
          <w:noProof/>
          <w:sz w:val="28"/>
          <w:szCs w:val="28"/>
          <w:lang w:eastAsia="fr-FR"/>
        </w:rPr>
      </w:pPr>
      <w:r w:rsidRPr="00F2210D">
        <w:rPr>
          <w:b/>
          <w:noProof/>
          <w:sz w:val="28"/>
          <w:szCs w:val="28"/>
          <w:lang w:eastAsia="fr-FR"/>
        </w:rPr>
        <w:t>Peut-on faire des propositions de regroupement de lots</w:t>
      </w:r>
      <w:r w:rsidR="00F2210D" w:rsidRPr="00F2210D">
        <w:rPr>
          <w:b/>
          <w:noProof/>
          <w:sz w:val="28"/>
          <w:szCs w:val="28"/>
          <w:lang w:eastAsia="fr-FR"/>
        </w:rPr>
        <w:t xml:space="preserve"> lorsque les contenus de 2 formations semblent similaires ou complémentaires</w:t>
      </w:r>
      <w:r w:rsidR="00F2210D">
        <w:rPr>
          <w:b/>
          <w:noProof/>
          <w:sz w:val="28"/>
          <w:szCs w:val="28"/>
          <w:lang w:eastAsia="fr-FR"/>
        </w:rPr>
        <w:t> ?</w:t>
      </w:r>
    </w:p>
    <w:p w:rsidR="005226DE" w:rsidRPr="00F2210D" w:rsidRDefault="002E76CA" w:rsidP="00F2210D">
      <w:pPr>
        <w:rPr>
          <w:noProof/>
          <w:sz w:val="28"/>
          <w:szCs w:val="28"/>
          <w:lang w:eastAsia="fr-FR"/>
        </w:rPr>
      </w:pPr>
      <w:r w:rsidRPr="00F2210D">
        <w:rPr>
          <w:noProof/>
          <w:sz w:val="28"/>
          <w:szCs w:val="28"/>
          <w:lang w:eastAsia="fr-FR"/>
        </w:rPr>
        <w:t>Trajectoires Tourisme est ouvert à toute proposition si celle-ci est argumentée et justifiée.</w:t>
      </w:r>
    </w:p>
    <w:p w:rsidR="002E76CA" w:rsidRPr="005226DE" w:rsidRDefault="002E76CA" w:rsidP="002E76CA">
      <w:pPr>
        <w:rPr>
          <w:noProof/>
          <w:sz w:val="28"/>
          <w:szCs w:val="28"/>
          <w:lang w:eastAsia="fr-FR"/>
        </w:rPr>
      </w:pPr>
      <w:r w:rsidRPr="005226DE">
        <w:rPr>
          <w:noProof/>
          <w:sz w:val="28"/>
          <w:szCs w:val="28"/>
          <w:lang w:eastAsia="fr-FR"/>
        </w:rPr>
        <w:t xml:space="preserve"> </w:t>
      </w:r>
    </w:p>
    <w:p w:rsidR="002E76CA" w:rsidRDefault="002E76CA" w:rsidP="002E76CA">
      <w:pPr>
        <w:rPr>
          <w:noProof/>
          <w:lang w:eastAsia="fr-FR"/>
        </w:rPr>
      </w:pPr>
    </w:p>
    <w:p w:rsidR="00F2210D" w:rsidRPr="00F2210D" w:rsidRDefault="002E76CA" w:rsidP="00F00901">
      <w:pPr>
        <w:pStyle w:val="Paragraphedeliste"/>
        <w:numPr>
          <w:ilvl w:val="0"/>
          <w:numId w:val="4"/>
        </w:numPr>
        <w:jc w:val="both"/>
        <w:rPr>
          <w:noProof/>
          <w:sz w:val="28"/>
          <w:szCs w:val="28"/>
          <w:lang w:eastAsia="fr-FR"/>
        </w:rPr>
      </w:pPr>
      <w:r w:rsidRPr="00F2210D">
        <w:rPr>
          <w:b/>
          <w:noProof/>
          <w:sz w:val="28"/>
          <w:szCs w:val="28"/>
          <w:lang w:eastAsia="fr-FR"/>
        </w:rPr>
        <w:t>Lorsqu’un lot présente plusieurs sessions</w:t>
      </w:r>
      <w:r w:rsidR="00F2210D" w:rsidRPr="00F2210D">
        <w:rPr>
          <w:b/>
          <w:noProof/>
          <w:sz w:val="28"/>
          <w:szCs w:val="28"/>
          <w:lang w:eastAsia="fr-FR"/>
        </w:rPr>
        <w:t xml:space="preserve"> dans différents lieux,</w:t>
      </w:r>
      <w:r w:rsidR="005226DE" w:rsidRPr="00F2210D">
        <w:rPr>
          <w:b/>
          <w:noProof/>
          <w:sz w:val="28"/>
          <w:szCs w:val="28"/>
          <w:lang w:eastAsia="fr-FR"/>
        </w:rPr>
        <w:t xml:space="preserve"> est-il nécessaire de pouvoir dispenser la formation</w:t>
      </w:r>
      <w:r w:rsidR="00F2210D" w:rsidRPr="00F2210D">
        <w:rPr>
          <w:b/>
          <w:noProof/>
          <w:sz w:val="28"/>
          <w:szCs w:val="28"/>
          <w:lang w:eastAsia="fr-FR"/>
        </w:rPr>
        <w:t xml:space="preserve"> dans les différents lieux avec les mêmes formateurs ? </w:t>
      </w:r>
      <w:r w:rsidR="005226DE" w:rsidRPr="00F2210D">
        <w:rPr>
          <w:b/>
          <w:noProof/>
          <w:sz w:val="28"/>
          <w:szCs w:val="28"/>
          <w:lang w:eastAsia="fr-FR"/>
        </w:rPr>
        <w:t xml:space="preserve"> </w:t>
      </w:r>
    </w:p>
    <w:p w:rsidR="00F2210D" w:rsidRDefault="00C87125" w:rsidP="00F2210D">
      <w:pPr>
        <w:jc w:val="both"/>
        <w:rPr>
          <w:noProof/>
          <w:sz w:val="28"/>
          <w:szCs w:val="28"/>
          <w:lang w:eastAsia="fr-FR"/>
        </w:rPr>
      </w:pPr>
      <w:r w:rsidRPr="00F2210D">
        <w:rPr>
          <w:noProof/>
          <w:sz w:val="28"/>
          <w:szCs w:val="28"/>
          <w:lang w:eastAsia="fr-FR"/>
        </w:rPr>
        <w:t xml:space="preserve">Il est préférable de répondre à l’ensemble </w:t>
      </w:r>
      <w:r w:rsidR="00BD1507" w:rsidRPr="00F2210D">
        <w:rPr>
          <w:noProof/>
          <w:sz w:val="28"/>
          <w:szCs w:val="28"/>
          <w:lang w:eastAsia="fr-FR"/>
        </w:rPr>
        <w:t xml:space="preserve">des </w:t>
      </w:r>
      <w:r w:rsidR="00F2210D">
        <w:rPr>
          <w:noProof/>
          <w:sz w:val="28"/>
          <w:szCs w:val="28"/>
          <w:lang w:eastAsia="fr-FR"/>
        </w:rPr>
        <w:t xml:space="preserve">sessions programmées d’un même lot </w:t>
      </w:r>
      <w:r w:rsidR="00BD1507" w:rsidRPr="00F2210D">
        <w:rPr>
          <w:noProof/>
          <w:sz w:val="28"/>
          <w:szCs w:val="28"/>
          <w:lang w:eastAsia="fr-FR"/>
        </w:rPr>
        <w:t>en proposant la même équipe pédagogique</w:t>
      </w:r>
      <w:r w:rsidR="00F2210D">
        <w:rPr>
          <w:noProof/>
          <w:sz w:val="28"/>
          <w:szCs w:val="28"/>
          <w:lang w:eastAsia="fr-FR"/>
        </w:rPr>
        <w:t>. En effet, l</w:t>
      </w:r>
      <w:r w:rsidR="00F2210D" w:rsidRPr="00F2210D">
        <w:rPr>
          <w:noProof/>
          <w:sz w:val="28"/>
          <w:szCs w:val="28"/>
          <w:lang w:eastAsia="fr-FR"/>
        </w:rPr>
        <w:t>’offre Trajectoires Tourisme</w:t>
      </w:r>
      <w:r w:rsidR="00F2210D">
        <w:rPr>
          <w:noProof/>
          <w:sz w:val="28"/>
          <w:szCs w:val="28"/>
          <w:lang w:eastAsia="fr-FR"/>
        </w:rPr>
        <w:t xml:space="preserve"> 2018 </w:t>
      </w:r>
      <w:r w:rsidR="00F2210D" w:rsidRPr="00F2210D">
        <w:rPr>
          <w:noProof/>
          <w:sz w:val="28"/>
          <w:szCs w:val="28"/>
          <w:lang w:eastAsia="fr-FR"/>
        </w:rPr>
        <w:t>a été co-construite</w:t>
      </w:r>
      <w:r w:rsidR="00F2210D">
        <w:rPr>
          <w:noProof/>
          <w:sz w:val="28"/>
          <w:szCs w:val="28"/>
          <w:lang w:eastAsia="fr-FR"/>
        </w:rPr>
        <w:t xml:space="preserve"> </w:t>
      </w:r>
      <w:r w:rsidR="00F2210D" w:rsidRPr="00F2210D">
        <w:rPr>
          <w:noProof/>
          <w:sz w:val="28"/>
          <w:szCs w:val="28"/>
          <w:lang w:eastAsia="fr-FR"/>
        </w:rPr>
        <w:t>en fonction des besoins exprimés par les professionnels du secteur des 12 départements de la région. La proximité avec ces professionnels est un des points forts de Trajectoires Tourisme.</w:t>
      </w:r>
      <w:r w:rsidR="00F2210D">
        <w:rPr>
          <w:noProof/>
          <w:sz w:val="28"/>
          <w:szCs w:val="28"/>
          <w:lang w:eastAsia="fr-FR"/>
        </w:rPr>
        <w:t xml:space="preserve"> Toutefois, ce critère n’est pas rédibitoire. </w:t>
      </w:r>
    </w:p>
    <w:p w:rsidR="00B05C07" w:rsidRDefault="00B05C07" w:rsidP="004A56F9">
      <w:pPr>
        <w:jc w:val="both"/>
        <w:rPr>
          <w:noProof/>
          <w:sz w:val="28"/>
          <w:szCs w:val="28"/>
          <w:lang w:eastAsia="fr-FR"/>
        </w:rPr>
      </w:pPr>
    </w:p>
    <w:p w:rsidR="00F2210D" w:rsidRDefault="00F2210D" w:rsidP="004A56F9">
      <w:pPr>
        <w:jc w:val="both"/>
        <w:rPr>
          <w:noProof/>
          <w:sz w:val="28"/>
          <w:szCs w:val="28"/>
          <w:lang w:eastAsia="fr-FR"/>
        </w:rPr>
      </w:pPr>
    </w:p>
    <w:p w:rsidR="00B05C07" w:rsidRPr="00B05C07" w:rsidRDefault="00B05C07" w:rsidP="00B05C07">
      <w:pPr>
        <w:pStyle w:val="Paragraphedeliste"/>
        <w:numPr>
          <w:ilvl w:val="0"/>
          <w:numId w:val="4"/>
        </w:numPr>
        <w:jc w:val="both"/>
        <w:rPr>
          <w:b/>
          <w:noProof/>
          <w:sz w:val="28"/>
          <w:szCs w:val="28"/>
          <w:lang w:eastAsia="fr-FR"/>
        </w:rPr>
      </w:pPr>
      <w:r w:rsidRPr="00B05C07">
        <w:rPr>
          <w:b/>
          <w:noProof/>
          <w:sz w:val="28"/>
          <w:szCs w:val="28"/>
          <w:lang w:eastAsia="fr-FR"/>
        </w:rPr>
        <w:t>Si plusieurs intervenants sont prévus pour animer une formation, le coût/jour sera t-il multipli</w:t>
      </w:r>
      <w:r w:rsidR="00C87125">
        <w:rPr>
          <w:b/>
          <w:noProof/>
          <w:sz w:val="28"/>
          <w:szCs w:val="28"/>
          <w:lang w:eastAsia="fr-FR"/>
        </w:rPr>
        <w:t>é</w:t>
      </w:r>
      <w:r w:rsidRPr="00B05C07">
        <w:rPr>
          <w:b/>
          <w:noProof/>
          <w:sz w:val="28"/>
          <w:szCs w:val="28"/>
          <w:lang w:eastAsia="fr-FR"/>
        </w:rPr>
        <w:t xml:space="preserve"> en fonction de ce nombre ?</w:t>
      </w:r>
    </w:p>
    <w:p w:rsidR="00B05C07" w:rsidRDefault="00B05C07" w:rsidP="00B05C07">
      <w:pPr>
        <w:jc w:val="both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lastRenderedPageBreak/>
        <w:t xml:space="preserve">La réponse doit être exprimée </w:t>
      </w:r>
      <w:r w:rsidR="00BD1507">
        <w:rPr>
          <w:noProof/>
          <w:sz w:val="28"/>
          <w:szCs w:val="28"/>
          <w:lang w:eastAsia="fr-FR"/>
        </w:rPr>
        <w:t xml:space="preserve">en </w:t>
      </w:r>
      <w:r>
        <w:rPr>
          <w:noProof/>
          <w:sz w:val="28"/>
          <w:szCs w:val="28"/>
          <w:lang w:eastAsia="fr-FR"/>
        </w:rPr>
        <w:t>coût/jour tout inclus, quel que soit le nombre d’intervenants et les frais de déplacement liés à la formation.</w:t>
      </w:r>
    </w:p>
    <w:p w:rsidR="00BD7E95" w:rsidRDefault="00713473" w:rsidP="004A56F9">
      <w:pPr>
        <w:jc w:val="both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Conformément aux informations mentionnées dans le cahier des charges, le coût doit-être compris entre 600</w:t>
      </w:r>
      <w:r>
        <w:rPr>
          <w:noProof/>
          <w:sz w:val="28"/>
          <w:szCs w:val="28"/>
          <w:vertAlign w:val="superscript"/>
          <w:lang w:eastAsia="fr-FR"/>
        </w:rPr>
        <w:t xml:space="preserve"> </w:t>
      </w:r>
      <w:r>
        <w:rPr>
          <w:noProof/>
          <w:sz w:val="28"/>
          <w:szCs w:val="28"/>
          <w:lang w:eastAsia="fr-FR"/>
        </w:rPr>
        <w:t xml:space="preserve">€ et 1000 € H.T par jour. </w:t>
      </w:r>
    </w:p>
    <w:p w:rsidR="00943837" w:rsidRDefault="00943837" w:rsidP="004A56F9">
      <w:pPr>
        <w:jc w:val="both"/>
        <w:rPr>
          <w:noProof/>
          <w:sz w:val="28"/>
          <w:szCs w:val="28"/>
          <w:lang w:eastAsia="fr-FR"/>
        </w:rPr>
      </w:pPr>
    </w:p>
    <w:p w:rsidR="00BD7E95" w:rsidRPr="00BD7E95" w:rsidRDefault="00BD7E95" w:rsidP="00BD7E95">
      <w:pPr>
        <w:pStyle w:val="Paragraphedeliste"/>
        <w:numPr>
          <w:ilvl w:val="0"/>
          <w:numId w:val="4"/>
        </w:numPr>
        <w:jc w:val="both"/>
        <w:rPr>
          <w:b/>
          <w:noProof/>
          <w:sz w:val="28"/>
          <w:szCs w:val="28"/>
          <w:lang w:eastAsia="fr-FR"/>
        </w:rPr>
      </w:pPr>
      <w:r w:rsidRPr="00BD7E95">
        <w:rPr>
          <w:b/>
          <w:noProof/>
          <w:sz w:val="28"/>
          <w:szCs w:val="28"/>
          <w:lang w:eastAsia="fr-FR"/>
        </w:rPr>
        <w:t>Aucune date n’étant définie, doit-on faire des propositions ?</w:t>
      </w:r>
    </w:p>
    <w:p w:rsidR="00BD7E95" w:rsidRDefault="00BD7E95" w:rsidP="00BD7E95">
      <w:pPr>
        <w:jc w:val="both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Le calendrier des différentes formations est en cours d’élaboration. Il fera l’objet d’un échange ultérieur avec les organismes/formateurs avant le choix final par la commission de sélection.</w:t>
      </w:r>
    </w:p>
    <w:p w:rsidR="00BD7E95" w:rsidRDefault="00BD7E95" w:rsidP="00BD7E95">
      <w:pPr>
        <w:jc w:val="both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L’équipe de Trajectoires Tourisme est ouverte à toute préconisation à ce sujet (périodes plus ou moins propices en fonction de la thématique, …)</w:t>
      </w:r>
    </w:p>
    <w:p w:rsidR="00BD7E95" w:rsidRPr="00BD7E95" w:rsidRDefault="00BD7E95" w:rsidP="00BD7E95">
      <w:pPr>
        <w:jc w:val="both"/>
        <w:rPr>
          <w:noProof/>
          <w:sz w:val="28"/>
          <w:szCs w:val="28"/>
          <w:lang w:eastAsia="fr-FR"/>
        </w:rPr>
      </w:pPr>
    </w:p>
    <w:p w:rsidR="00703E42" w:rsidRDefault="00703E42" w:rsidP="004A56F9">
      <w:pPr>
        <w:jc w:val="both"/>
        <w:rPr>
          <w:noProof/>
          <w:lang w:eastAsia="fr-FR"/>
        </w:rPr>
      </w:pPr>
    </w:p>
    <w:p w:rsidR="00703E42" w:rsidRDefault="00703E42">
      <w:pPr>
        <w:rPr>
          <w:noProof/>
          <w:lang w:eastAsia="fr-FR"/>
        </w:rPr>
      </w:pPr>
    </w:p>
    <w:p w:rsidR="00F174ED" w:rsidRDefault="00F174ED" w:rsidP="00F174ED">
      <w:pPr>
        <w:pStyle w:val="Paragraphedeliste"/>
        <w:numPr>
          <w:ilvl w:val="0"/>
          <w:numId w:val="4"/>
        </w:numPr>
        <w:jc w:val="both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t>L’annexe B (modèle séquençage) doit-elle être renseignée pour</w:t>
      </w:r>
      <w:r w:rsidR="00AF395E">
        <w:rPr>
          <w:b/>
          <w:noProof/>
          <w:sz w:val="28"/>
          <w:szCs w:val="28"/>
          <w:lang w:eastAsia="fr-FR"/>
        </w:rPr>
        <w:t xml:space="preserve"> chaque lot </w:t>
      </w:r>
      <w:r w:rsidRPr="00F174ED">
        <w:rPr>
          <w:b/>
          <w:noProof/>
          <w:sz w:val="28"/>
          <w:szCs w:val="28"/>
          <w:lang w:eastAsia="fr-FR"/>
        </w:rPr>
        <w:t>?</w:t>
      </w:r>
      <w:r w:rsidR="00AF395E">
        <w:rPr>
          <w:b/>
          <w:noProof/>
          <w:sz w:val="28"/>
          <w:szCs w:val="28"/>
          <w:lang w:eastAsia="fr-FR"/>
        </w:rPr>
        <w:t xml:space="preserve"> Concerne t-elle l’ensemble de la formation (lot) ?</w:t>
      </w:r>
    </w:p>
    <w:p w:rsidR="00AF395E" w:rsidRDefault="00F174ED" w:rsidP="00F174ED">
      <w:pPr>
        <w:jc w:val="both"/>
        <w:rPr>
          <w:noProof/>
          <w:sz w:val="28"/>
          <w:szCs w:val="28"/>
          <w:lang w:eastAsia="fr-FR"/>
        </w:rPr>
      </w:pPr>
      <w:r w:rsidRPr="00F174ED">
        <w:rPr>
          <w:noProof/>
          <w:sz w:val="28"/>
          <w:szCs w:val="28"/>
          <w:lang w:eastAsia="fr-FR"/>
        </w:rPr>
        <w:t xml:space="preserve">L’annexe B doit être complétée pour </w:t>
      </w:r>
      <w:r>
        <w:rPr>
          <w:noProof/>
          <w:sz w:val="28"/>
          <w:szCs w:val="28"/>
          <w:lang w:eastAsia="fr-FR"/>
        </w:rPr>
        <w:t>chaque lot</w:t>
      </w:r>
      <w:r w:rsidR="00AF395E">
        <w:rPr>
          <w:noProof/>
          <w:sz w:val="28"/>
          <w:szCs w:val="28"/>
          <w:lang w:eastAsia="fr-FR"/>
        </w:rPr>
        <w:t>.</w:t>
      </w:r>
    </w:p>
    <w:p w:rsidR="00F174ED" w:rsidRPr="00F174ED" w:rsidRDefault="00F174ED" w:rsidP="00F174ED">
      <w:pPr>
        <w:jc w:val="both"/>
        <w:rPr>
          <w:noProof/>
          <w:sz w:val="28"/>
          <w:szCs w:val="28"/>
          <w:lang w:eastAsia="fr-FR"/>
        </w:rPr>
      </w:pPr>
      <w:r w:rsidRPr="00AF395E">
        <w:rPr>
          <w:noProof/>
          <w:sz w:val="28"/>
          <w:szCs w:val="28"/>
          <w:u w:val="single"/>
          <w:lang w:eastAsia="fr-FR"/>
        </w:rPr>
        <w:t>Seul un module de la formation</w:t>
      </w:r>
      <w:r w:rsidR="00AF395E">
        <w:rPr>
          <w:noProof/>
          <w:sz w:val="28"/>
          <w:szCs w:val="28"/>
          <w:u w:val="single"/>
          <w:lang w:eastAsia="fr-FR"/>
        </w:rPr>
        <w:t xml:space="preserve"> (lot)</w:t>
      </w:r>
      <w:r w:rsidRPr="00F174ED">
        <w:rPr>
          <w:noProof/>
          <w:sz w:val="28"/>
          <w:szCs w:val="28"/>
          <w:lang w:eastAsia="fr-FR"/>
        </w:rPr>
        <w:t xml:space="preserve"> doit être renseigné</w:t>
      </w:r>
      <w:r>
        <w:rPr>
          <w:noProof/>
          <w:sz w:val="28"/>
          <w:szCs w:val="28"/>
          <w:lang w:eastAsia="fr-FR"/>
        </w:rPr>
        <w:t xml:space="preserve"> </w:t>
      </w:r>
      <w:r w:rsidR="00AF395E">
        <w:rPr>
          <w:noProof/>
          <w:sz w:val="28"/>
          <w:szCs w:val="28"/>
          <w:lang w:eastAsia="fr-FR"/>
        </w:rPr>
        <w:t>(description d’une heure ou d’une matinée de formation)</w:t>
      </w:r>
      <w:r>
        <w:rPr>
          <w:noProof/>
          <w:sz w:val="28"/>
          <w:szCs w:val="28"/>
          <w:lang w:eastAsia="fr-FR"/>
        </w:rPr>
        <w:t xml:space="preserve">. Ce document peut être réaménagé mais les informations demandées doivent toutes y appparaître. </w:t>
      </w:r>
    </w:p>
    <w:p w:rsidR="00D22F23" w:rsidRDefault="00D22F23">
      <w:pPr>
        <w:rPr>
          <w:b/>
          <w:noProof/>
          <w:lang w:eastAsia="fr-FR"/>
        </w:rPr>
      </w:pPr>
    </w:p>
    <w:p w:rsidR="00F21BCE" w:rsidRDefault="00F21BCE">
      <w:pPr>
        <w:rPr>
          <w:b/>
          <w:noProof/>
          <w:lang w:eastAsia="fr-FR"/>
        </w:rPr>
      </w:pPr>
    </w:p>
    <w:p w:rsidR="00F21BCE" w:rsidRPr="00F21BCE" w:rsidRDefault="00F21BCE" w:rsidP="00F21BCE">
      <w:pPr>
        <w:pStyle w:val="Paragraphedeliste"/>
        <w:numPr>
          <w:ilvl w:val="0"/>
          <w:numId w:val="4"/>
        </w:numPr>
        <w:jc w:val="both"/>
        <w:rPr>
          <w:b/>
          <w:noProof/>
          <w:sz w:val="28"/>
          <w:szCs w:val="28"/>
          <w:lang w:eastAsia="fr-FR"/>
        </w:rPr>
      </w:pPr>
      <w:r w:rsidRPr="00F21BCE">
        <w:rPr>
          <w:b/>
          <w:noProof/>
          <w:sz w:val="28"/>
          <w:szCs w:val="28"/>
          <w:lang w:eastAsia="fr-FR"/>
        </w:rPr>
        <w:t>Peut-on</w:t>
      </w:r>
      <w:r>
        <w:rPr>
          <w:b/>
          <w:noProof/>
          <w:sz w:val="28"/>
          <w:szCs w:val="28"/>
          <w:lang w:eastAsia="fr-FR"/>
        </w:rPr>
        <w:t xml:space="preserve"> répondre à un seul lot lorsqu</w:t>
      </w:r>
      <w:r w:rsidRPr="00F21BCE">
        <w:rPr>
          <w:b/>
          <w:noProof/>
          <w:sz w:val="28"/>
          <w:szCs w:val="28"/>
          <w:lang w:eastAsia="fr-FR"/>
        </w:rPr>
        <w:t>’un domaine de formation en comprend plusieurs ?</w:t>
      </w:r>
    </w:p>
    <w:p w:rsidR="00F21BCE" w:rsidRDefault="00F21BCE" w:rsidP="00F21BCE">
      <w:pPr>
        <w:jc w:val="both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Les domaines de formation comprennent entre 1 et 1</w:t>
      </w:r>
      <w:r w:rsidR="00943837">
        <w:rPr>
          <w:noProof/>
          <w:sz w:val="28"/>
          <w:szCs w:val="28"/>
          <w:lang w:eastAsia="fr-FR"/>
        </w:rPr>
        <w:t>6</w:t>
      </w:r>
      <w:r>
        <w:rPr>
          <w:noProof/>
          <w:sz w:val="28"/>
          <w:szCs w:val="28"/>
          <w:lang w:eastAsia="fr-FR"/>
        </w:rPr>
        <w:t xml:space="preserve"> lots.</w:t>
      </w:r>
    </w:p>
    <w:p w:rsidR="00F21BCE" w:rsidRDefault="00F21BCE" w:rsidP="00F21BCE">
      <w:pPr>
        <w:jc w:val="both"/>
        <w:rPr>
          <w:noProof/>
          <w:sz w:val="28"/>
          <w:szCs w:val="28"/>
          <w:lang w:eastAsia="fr-FR"/>
        </w:rPr>
      </w:pPr>
      <w:r w:rsidRPr="00F21BCE">
        <w:rPr>
          <w:noProof/>
          <w:sz w:val="28"/>
          <w:szCs w:val="28"/>
          <w:lang w:eastAsia="fr-FR"/>
        </w:rPr>
        <w:t xml:space="preserve">Chaque lot est indépendant, la réponse peut </w:t>
      </w:r>
      <w:r>
        <w:rPr>
          <w:noProof/>
          <w:sz w:val="28"/>
          <w:szCs w:val="28"/>
          <w:lang w:eastAsia="fr-FR"/>
        </w:rPr>
        <w:t xml:space="preserve">donc </w:t>
      </w:r>
      <w:r w:rsidRPr="00F21BCE">
        <w:rPr>
          <w:noProof/>
          <w:sz w:val="28"/>
          <w:szCs w:val="28"/>
          <w:lang w:eastAsia="fr-FR"/>
        </w:rPr>
        <w:t xml:space="preserve">porter sur un, deux voire la totalité </w:t>
      </w:r>
      <w:r>
        <w:rPr>
          <w:noProof/>
          <w:sz w:val="28"/>
          <w:szCs w:val="28"/>
          <w:lang w:eastAsia="fr-FR"/>
        </w:rPr>
        <w:t xml:space="preserve">des lots du domaine de formation concerné (cf </w:t>
      </w:r>
      <w:r w:rsidRPr="00F21BCE">
        <w:rPr>
          <w:i/>
          <w:noProof/>
          <w:sz w:val="28"/>
          <w:szCs w:val="28"/>
          <w:lang w:eastAsia="fr-FR"/>
        </w:rPr>
        <w:t>1-Règlement prestations de formation</w:t>
      </w:r>
      <w:r w:rsidRPr="00F21BCE">
        <w:rPr>
          <w:noProof/>
          <w:sz w:val="28"/>
          <w:szCs w:val="28"/>
          <w:lang w:eastAsia="fr-FR"/>
        </w:rPr>
        <w:t xml:space="preserve"> : « Ce marché sera passé selon une procédure adaptée. Il prendra la forme d’un marché à bons de commande, sans montant minimum avec un montant maximum de </w:t>
      </w:r>
      <w:r w:rsidR="00943837">
        <w:rPr>
          <w:noProof/>
          <w:sz w:val="28"/>
          <w:szCs w:val="28"/>
          <w:lang w:eastAsia="fr-FR"/>
        </w:rPr>
        <w:t>90</w:t>
      </w:r>
      <w:r w:rsidRPr="00F21BCE">
        <w:rPr>
          <w:noProof/>
          <w:sz w:val="28"/>
          <w:szCs w:val="28"/>
          <w:lang w:eastAsia="fr-FR"/>
        </w:rPr>
        <w:t> 000 H.T. par lot pour la durée du marché (1 an</w:t>
      </w:r>
      <w:r w:rsidR="00943837">
        <w:rPr>
          <w:noProof/>
          <w:sz w:val="28"/>
          <w:szCs w:val="28"/>
          <w:lang w:eastAsia="fr-FR"/>
        </w:rPr>
        <w:t>, renouvelable 1 fois</w:t>
      </w:r>
      <w:r w:rsidRPr="00F21BCE">
        <w:rPr>
          <w:noProof/>
          <w:sz w:val="28"/>
          <w:szCs w:val="28"/>
          <w:lang w:eastAsia="fr-FR"/>
        </w:rPr>
        <w:t xml:space="preserve">), </w:t>
      </w:r>
      <w:r w:rsidRPr="00F21BCE">
        <w:rPr>
          <w:noProof/>
          <w:sz w:val="28"/>
          <w:szCs w:val="28"/>
          <w:u w:val="single"/>
          <w:lang w:eastAsia="fr-FR"/>
        </w:rPr>
        <w:t>mono attributaire par lot</w:t>
      </w:r>
      <w:r w:rsidRPr="00F21BCE">
        <w:rPr>
          <w:noProof/>
          <w:sz w:val="28"/>
          <w:szCs w:val="28"/>
          <w:lang w:eastAsia="fr-FR"/>
        </w:rPr>
        <w:t xml:space="preserve"> et négociable pour chacun des lots.</w:t>
      </w:r>
      <w:r>
        <w:rPr>
          <w:noProof/>
          <w:sz w:val="28"/>
          <w:szCs w:val="28"/>
          <w:lang w:eastAsia="fr-FR"/>
        </w:rPr>
        <w:t> »</w:t>
      </w:r>
    </w:p>
    <w:p w:rsidR="008879F8" w:rsidRDefault="008879F8" w:rsidP="00F21BCE">
      <w:pPr>
        <w:jc w:val="both"/>
        <w:rPr>
          <w:noProof/>
          <w:sz w:val="28"/>
          <w:szCs w:val="28"/>
          <w:lang w:eastAsia="fr-FR"/>
        </w:rPr>
      </w:pPr>
    </w:p>
    <w:p w:rsidR="008879F8" w:rsidRPr="008879F8" w:rsidRDefault="008879F8" w:rsidP="009608EA">
      <w:pPr>
        <w:pStyle w:val="Paragraphedeliste"/>
        <w:numPr>
          <w:ilvl w:val="0"/>
          <w:numId w:val="4"/>
        </w:numPr>
        <w:jc w:val="both"/>
        <w:rPr>
          <w:b/>
          <w:noProof/>
          <w:lang w:eastAsia="fr-FR"/>
        </w:rPr>
      </w:pPr>
      <w:r>
        <w:rPr>
          <w:b/>
          <w:noProof/>
          <w:sz w:val="28"/>
          <w:szCs w:val="28"/>
          <w:lang w:eastAsia="fr-FR"/>
        </w:rPr>
        <w:t>Les organismes de formation/ candidats retenus lors de la consultation pour l’offre catalogue Trajectoires Tourisme 2018 sont-ils obligés de répondre pour 2019 si la ou les mêmes formations sont repragrammées ?</w:t>
      </w:r>
    </w:p>
    <w:p w:rsidR="008879F8" w:rsidRDefault="008879F8" w:rsidP="008879F8">
      <w:pPr>
        <w:jc w:val="both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 xml:space="preserve">Oui, les organismes retenus en 2018 devront répondre à l’appel d’offre au même titre que les autres organismes/candidats et devront de ce fait renvoyer un dossier complet </w:t>
      </w:r>
      <w:r w:rsidR="004335FA">
        <w:rPr>
          <w:noProof/>
          <w:sz w:val="28"/>
          <w:szCs w:val="28"/>
          <w:lang w:eastAsia="fr-FR"/>
        </w:rPr>
        <w:t xml:space="preserve">(avec tous les éléments demandés) afin que </w:t>
      </w:r>
      <w:r>
        <w:rPr>
          <w:noProof/>
          <w:sz w:val="28"/>
          <w:szCs w:val="28"/>
          <w:lang w:eastAsia="fr-FR"/>
        </w:rPr>
        <w:t>leur</w:t>
      </w:r>
      <w:r w:rsidR="004335FA">
        <w:rPr>
          <w:noProof/>
          <w:sz w:val="28"/>
          <w:szCs w:val="28"/>
          <w:lang w:eastAsia="fr-FR"/>
        </w:rPr>
        <w:t>(s)</w:t>
      </w:r>
      <w:r>
        <w:rPr>
          <w:noProof/>
          <w:sz w:val="28"/>
          <w:szCs w:val="28"/>
          <w:lang w:eastAsia="fr-FR"/>
        </w:rPr>
        <w:t xml:space="preserve"> proposition</w:t>
      </w:r>
      <w:r w:rsidR="004335FA">
        <w:rPr>
          <w:noProof/>
          <w:sz w:val="28"/>
          <w:szCs w:val="28"/>
          <w:lang w:eastAsia="fr-FR"/>
        </w:rPr>
        <w:t>(s)</w:t>
      </w:r>
      <w:r>
        <w:rPr>
          <w:noProof/>
          <w:sz w:val="28"/>
          <w:szCs w:val="28"/>
          <w:lang w:eastAsia="fr-FR"/>
        </w:rPr>
        <w:t xml:space="preserve"> </w:t>
      </w:r>
      <w:r w:rsidR="004335FA">
        <w:rPr>
          <w:noProof/>
          <w:sz w:val="28"/>
          <w:szCs w:val="28"/>
          <w:lang w:eastAsia="fr-FR"/>
        </w:rPr>
        <w:t>puisse(nt) être</w:t>
      </w:r>
      <w:r>
        <w:rPr>
          <w:noProof/>
          <w:sz w:val="28"/>
          <w:szCs w:val="28"/>
          <w:lang w:eastAsia="fr-FR"/>
        </w:rPr>
        <w:t xml:space="preserve"> étudiée</w:t>
      </w:r>
      <w:r w:rsidR="004335FA">
        <w:rPr>
          <w:noProof/>
          <w:sz w:val="28"/>
          <w:szCs w:val="28"/>
          <w:lang w:eastAsia="fr-FR"/>
        </w:rPr>
        <w:t>(</w:t>
      </w:r>
      <w:r>
        <w:rPr>
          <w:noProof/>
          <w:sz w:val="28"/>
          <w:szCs w:val="28"/>
          <w:lang w:eastAsia="fr-FR"/>
        </w:rPr>
        <w:t>s</w:t>
      </w:r>
      <w:r w:rsidR="004335FA">
        <w:rPr>
          <w:noProof/>
          <w:sz w:val="28"/>
          <w:szCs w:val="28"/>
          <w:lang w:eastAsia="fr-FR"/>
        </w:rPr>
        <w:t>)</w:t>
      </w:r>
      <w:r>
        <w:rPr>
          <w:noProof/>
          <w:sz w:val="28"/>
          <w:szCs w:val="28"/>
          <w:lang w:eastAsia="fr-FR"/>
        </w:rPr>
        <w:t xml:space="preserve"> par la commission de sélection. </w:t>
      </w:r>
      <w:r w:rsidR="004335FA">
        <w:rPr>
          <w:noProof/>
          <w:sz w:val="28"/>
          <w:szCs w:val="28"/>
          <w:lang w:eastAsia="fr-FR"/>
        </w:rPr>
        <w:t>Pour rappel, l</w:t>
      </w:r>
      <w:r>
        <w:rPr>
          <w:noProof/>
          <w:sz w:val="28"/>
          <w:szCs w:val="28"/>
          <w:lang w:eastAsia="fr-FR"/>
        </w:rPr>
        <w:t xml:space="preserve">a consultation pour l’offre catalogue 2018 ne concernait bien que l’année civile 2018. Aucune reconduction n’était </w:t>
      </w:r>
      <w:r>
        <w:rPr>
          <w:noProof/>
          <w:sz w:val="28"/>
          <w:szCs w:val="28"/>
          <w:lang w:eastAsia="fr-FR"/>
        </w:rPr>
        <w:lastRenderedPageBreak/>
        <w:t xml:space="preserve">intégrée dans le marché. En revanche, pour 2019, il est prévu dans le règlement </w:t>
      </w:r>
      <w:r w:rsidR="004335FA">
        <w:rPr>
          <w:noProof/>
          <w:sz w:val="28"/>
          <w:szCs w:val="28"/>
          <w:lang w:eastAsia="fr-FR"/>
        </w:rPr>
        <w:t>que le marché soit renouvelable 1 fois.</w:t>
      </w:r>
    </w:p>
    <w:p w:rsidR="008879F8" w:rsidRPr="008879F8" w:rsidRDefault="008879F8" w:rsidP="008879F8">
      <w:pPr>
        <w:jc w:val="both"/>
        <w:rPr>
          <w:noProof/>
          <w:sz w:val="28"/>
          <w:szCs w:val="28"/>
          <w:lang w:eastAsia="fr-FR"/>
        </w:rPr>
      </w:pPr>
    </w:p>
    <w:p w:rsidR="008879F8" w:rsidRPr="004335FA" w:rsidRDefault="004335FA" w:rsidP="008879F8">
      <w:pPr>
        <w:pStyle w:val="Paragraphedeliste"/>
        <w:numPr>
          <w:ilvl w:val="0"/>
          <w:numId w:val="4"/>
        </w:numPr>
        <w:jc w:val="both"/>
        <w:rPr>
          <w:b/>
          <w:noProof/>
          <w:sz w:val="28"/>
          <w:szCs w:val="28"/>
          <w:lang w:eastAsia="fr-FR"/>
        </w:rPr>
      </w:pPr>
      <w:r w:rsidRPr="004335FA">
        <w:rPr>
          <w:b/>
          <w:noProof/>
          <w:sz w:val="28"/>
          <w:szCs w:val="28"/>
          <w:lang w:eastAsia="fr-FR"/>
        </w:rPr>
        <w:t>Doit-on utiliser les modèles fournis dans l’appel d’offres</w:t>
      </w:r>
    </w:p>
    <w:p w:rsidR="008879F8" w:rsidRDefault="004335FA" w:rsidP="004335FA">
      <w:pPr>
        <w:jc w:val="both"/>
        <w:rPr>
          <w:noProof/>
          <w:sz w:val="28"/>
          <w:szCs w:val="28"/>
          <w:lang w:eastAsia="fr-FR"/>
        </w:rPr>
      </w:pPr>
      <w:r w:rsidRPr="004335FA">
        <w:rPr>
          <w:noProof/>
          <w:sz w:val="28"/>
          <w:szCs w:val="28"/>
          <w:lang w:eastAsia="fr-FR"/>
        </w:rPr>
        <w:t>Auvergne-Rhône-Alpes Tourisme a mis à disposition des candidats plusieurs modèles pour répondre à l’avis de marché</w:t>
      </w:r>
      <w:r>
        <w:rPr>
          <w:noProof/>
          <w:sz w:val="28"/>
          <w:szCs w:val="28"/>
          <w:lang w:eastAsia="fr-FR"/>
        </w:rPr>
        <w:t xml:space="preserve"> (Annexes A, B, C, D, DC1 – DC2 – DC3)</w:t>
      </w:r>
      <w:r w:rsidRPr="004335FA">
        <w:rPr>
          <w:noProof/>
          <w:sz w:val="28"/>
          <w:szCs w:val="28"/>
          <w:lang w:eastAsia="fr-FR"/>
        </w:rPr>
        <w:t xml:space="preserve">. Il n’est pas obligatoire de les utiliser (mais </w:t>
      </w:r>
      <w:r>
        <w:rPr>
          <w:noProof/>
          <w:sz w:val="28"/>
          <w:szCs w:val="28"/>
          <w:lang w:eastAsia="fr-FR"/>
        </w:rPr>
        <w:t xml:space="preserve">fortement </w:t>
      </w:r>
      <w:r w:rsidRPr="004335FA">
        <w:rPr>
          <w:noProof/>
          <w:sz w:val="28"/>
          <w:szCs w:val="28"/>
          <w:lang w:eastAsia="fr-FR"/>
        </w:rPr>
        <w:t>conseillé) par contre ces informations doivent figurer dans la réponse.</w:t>
      </w:r>
    </w:p>
    <w:p w:rsidR="00272A2E" w:rsidRDefault="00272A2E" w:rsidP="004335FA">
      <w:pPr>
        <w:jc w:val="both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Ils sont disponibles sur simple demande (mail / tél) au format word.</w:t>
      </w:r>
    </w:p>
    <w:p w:rsidR="00272A2E" w:rsidRDefault="00272A2E" w:rsidP="004335FA">
      <w:pPr>
        <w:jc w:val="both"/>
        <w:rPr>
          <w:noProof/>
          <w:sz w:val="28"/>
          <w:szCs w:val="28"/>
          <w:lang w:eastAsia="fr-FR"/>
        </w:rPr>
      </w:pPr>
    </w:p>
    <w:p w:rsidR="00272A2E" w:rsidRDefault="00272A2E" w:rsidP="004335FA">
      <w:pPr>
        <w:jc w:val="both"/>
        <w:rPr>
          <w:noProof/>
          <w:sz w:val="28"/>
          <w:szCs w:val="28"/>
          <w:lang w:eastAsia="fr-FR"/>
        </w:rPr>
      </w:pPr>
    </w:p>
    <w:p w:rsidR="00272A2E" w:rsidRPr="00272A2E" w:rsidRDefault="00272A2E" w:rsidP="00272A2E">
      <w:pPr>
        <w:pStyle w:val="Paragraphedeliste"/>
        <w:numPr>
          <w:ilvl w:val="0"/>
          <w:numId w:val="4"/>
        </w:numPr>
        <w:jc w:val="both"/>
        <w:rPr>
          <w:b/>
          <w:noProof/>
          <w:sz w:val="28"/>
          <w:szCs w:val="28"/>
          <w:lang w:eastAsia="fr-FR"/>
        </w:rPr>
      </w:pPr>
      <w:r w:rsidRPr="00272A2E">
        <w:rPr>
          <w:b/>
          <w:noProof/>
          <w:sz w:val="28"/>
          <w:szCs w:val="28"/>
          <w:lang w:eastAsia="fr-FR"/>
        </w:rPr>
        <w:t>Doit-on forcément être datadocké pour répondre à la consultation ?</w:t>
      </w:r>
    </w:p>
    <w:p w:rsidR="00272A2E" w:rsidRPr="00272A2E" w:rsidRDefault="00272A2E" w:rsidP="00272A2E">
      <w:pPr>
        <w:jc w:val="both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>Non, par cont</w:t>
      </w:r>
      <w:bookmarkStart w:id="0" w:name="_GoBack"/>
      <w:bookmarkEnd w:id="0"/>
      <w:r>
        <w:rPr>
          <w:noProof/>
          <w:sz w:val="28"/>
          <w:szCs w:val="28"/>
          <w:lang w:eastAsia="fr-FR"/>
        </w:rPr>
        <w:t xml:space="preserve">re </w:t>
      </w:r>
      <w:r w:rsidRPr="00272A2E">
        <w:rPr>
          <w:noProof/>
          <w:sz w:val="28"/>
          <w:szCs w:val="28"/>
          <w:lang w:eastAsia="fr-FR"/>
        </w:rPr>
        <w:t>l</w:t>
      </w:r>
      <w:r w:rsidRPr="00272A2E">
        <w:rPr>
          <w:noProof/>
          <w:sz w:val="28"/>
          <w:szCs w:val="28"/>
          <w:lang w:eastAsia="fr-FR"/>
        </w:rPr>
        <w:t>es candidats qui sont organismes de formation et qui répondront à la présente consultation devront obligatoirement être en règle par rapport au décret qualité n°2015-790 du 30 juin 2015 relatif à la qualité des actions de la formation professionnelle continue.</w:t>
      </w:r>
    </w:p>
    <w:p w:rsidR="00272A2E" w:rsidRPr="00272A2E" w:rsidRDefault="00272A2E" w:rsidP="00272A2E">
      <w:pPr>
        <w:jc w:val="both"/>
        <w:rPr>
          <w:noProof/>
          <w:sz w:val="28"/>
          <w:szCs w:val="28"/>
          <w:lang w:eastAsia="fr-FR"/>
        </w:rPr>
      </w:pPr>
    </w:p>
    <w:sectPr w:rsidR="00272A2E" w:rsidRPr="00272A2E" w:rsidSect="006B4A8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77BBA"/>
    <w:multiLevelType w:val="hybridMultilevel"/>
    <w:tmpl w:val="B4FE1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09A4"/>
    <w:multiLevelType w:val="hybridMultilevel"/>
    <w:tmpl w:val="0BE841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3EBB"/>
    <w:multiLevelType w:val="hybridMultilevel"/>
    <w:tmpl w:val="66C03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4A4D"/>
    <w:multiLevelType w:val="hybridMultilevel"/>
    <w:tmpl w:val="A2D8B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B16A5"/>
    <w:multiLevelType w:val="hybridMultilevel"/>
    <w:tmpl w:val="FD5E8B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12A1D"/>
    <w:multiLevelType w:val="hybridMultilevel"/>
    <w:tmpl w:val="66C03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427D9"/>
    <w:multiLevelType w:val="hybridMultilevel"/>
    <w:tmpl w:val="66C03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98D"/>
    <w:rsid w:val="001C4B3B"/>
    <w:rsid w:val="00272A2E"/>
    <w:rsid w:val="002B701D"/>
    <w:rsid w:val="002E76CA"/>
    <w:rsid w:val="00321E13"/>
    <w:rsid w:val="003959B6"/>
    <w:rsid w:val="004335FA"/>
    <w:rsid w:val="004750C1"/>
    <w:rsid w:val="004A56F9"/>
    <w:rsid w:val="005226DE"/>
    <w:rsid w:val="005B398D"/>
    <w:rsid w:val="00642E0F"/>
    <w:rsid w:val="006B6DA3"/>
    <w:rsid w:val="00703E42"/>
    <w:rsid w:val="00713473"/>
    <w:rsid w:val="008567D0"/>
    <w:rsid w:val="008879F8"/>
    <w:rsid w:val="00943837"/>
    <w:rsid w:val="00A402BD"/>
    <w:rsid w:val="00A9041B"/>
    <w:rsid w:val="00AF0D26"/>
    <w:rsid w:val="00AF395E"/>
    <w:rsid w:val="00B05C07"/>
    <w:rsid w:val="00BD1507"/>
    <w:rsid w:val="00BD7E95"/>
    <w:rsid w:val="00C87125"/>
    <w:rsid w:val="00C957F0"/>
    <w:rsid w:val="00D22F23"/>
    <w:rsid w:val="00D96839"/>
    <w:rsid w:val="00F174ED"/>
    <w:rsid w:val="00F21BCE"/>
    <w:rsid w:val="00F2210D"/>
    <w:rsid w:val="00F37EE4"/>
    <w:rsid w:val="00FD0E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776"/>
  <w15:docId w15:val="{0DD5E016-4CE7-4747-ADC5-DF51782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0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3E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E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70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0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trajectoires-tourism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Turbulences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Vidal</dc:creator>
  <cp:keywords/>
  <cp:lastModifiedBy>Karel Chaucheprat</cp:lastModifiedBy>
  <cp:revision>12</cp:revision>
  <cp:lastPrinted>2018-09-11T13:12:00Z</cp:lastPrinted>
  <dcterms:created xsi:type="dcterms:W3CDTF">2017-09-07T13:34:00Z</dcterms:created>
  <dcterms:modified xsi:type="dcterms:W3CDTF">2018-09-24T07:06:00Z</dcterms:modified>
</cp:coreProperties>
</file>